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ind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2333247</wp:posOffset>
                </wp:positionH>
                <wp:positionV relativeFrom="page">
                  <wp:posOffset>1450340</wp:posOffset>
                </wp:positionV>
                <wp:extent cx="3081020" cy="3037840"/>
                <wp:effectExtent l="0" t="0" r="0" b="0"/>
                <wp:wrapNone/>
                <wp:docPr id="1073741829" name="Group 1073741829" descr="logo1 (2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3037840"/>
                          <a:chOff x="3805490" y="2261080"/>
                          <a:chExt cx="3081021" cy="303784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05490" y="2261080"/>
                            <a:ext cx="3081021" cy="3037841"/>
                            <a:chOff x="0" y="0"/>
                            <a:chExt cx="3080943" cy="303770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080925" cy="303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27BC" w:rsidRDefault="00D927B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27BC" w:rsidRDefault="00D927B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2333247</wp:posOffset>
                </wp:positionH>
                <wp:positionV relativeFrom="page">
                  <wp:posOffset>1450340</wp:posOffset>
                </wp:positionV>
                <wp:extent cx="3081020" cy="3037840"/>
                <wp:effectExtent b="0" l="0" r="0" t="0"/>
                <wp:wrapNone/>
                <wp:docPr descr="logo1 (2)" id="1073741829" name="image1.png"/>
                <a:graphic>
                  <a:graphicData uri="http://schemas.openxmlformats.org/drawingml/2006/picture">
                    <pic:pic>
                      <pic:nvPicPr>
                        <pic:cNvPr descr="logo1 (2)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020" cy="3037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before="228" w:line="314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spacing w:before="228" w:line="314" w:lineRule="auto"/>
        <w:ind w:left="2880" w:right="5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Pupil Premium Strategy 2020-2021</w:t>
      </w:r>
    </w:p>
    <w:p w:rsidR="00D927BC" w:rsidRDefault="00D927BC">
      <w:pPr>
        <w:spacing w:before="228" w:line="314" w:lineRule="auto"/>
        <w:ind w:left="3881" w:right="540" w:hanging="2502"/>
        <w:jc w:val="center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before="228" w:line="314" w:lineRule="auto"/>
        <w:ind w:left="3600"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The Cavendish High Academy</w:t>
      </w:r>
    </w:p>
    <w:p w:rsidR="00D927BC" w:rsidRDefault="00D927BC">
      <w:pPr>
        <w:spacing w:line="314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 w:hanging="10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77"/>
        <w:ind w:left="927"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D927BC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</w:p>
    <w:p w:rsidR="00D927BC" w:rsidRDefault="00986692">
      <w:pPr>
        <w:tabs>
          <w:tab w:val="left" w:pos="497"/>
        </w:tabs>
        <w:spacing w:before="77"/>
        <w:ind w:right="540"/>
        <w:rPr>
          <w:rFonts w:ascii="Arial" w:eastAsia="Arial" w:hAnsi="Arial" w:cs="Arial"/>
          <w:b/>
          <w:color w:val="000080"/>
          <w:sz w:val="22"/>
          <w:szCs w:val="22"/>
        </w:rPr>
      </w:pPr>
      <w:r>
        <w:rPr>
          <w:rFonts w:ascii="Arial" w:eastAsia="Arial" w:hAnsi="Arial" w:cs="Arial"/>
          <w:b/>
          <w:color w:val="000080"/>
          <w:sz w:val="22"/>
          <w:szCs w:val="22"/>
        </w:rPr>
        <w:t>Pupil Premium Funding September 2020 – July 2021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54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00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Pupil Premium Grant (PPG)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provides funding to raise the attainment of disadvantaged pupils and closing the gap with their peers. As a school, we have the responsibility for using this funding to close the gap for this specific cohort of learner. We ensure the best possible support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raising attainment for the most vulnerable pupils.  Equality </w:t>
      </w:r>
      <w:r>
        <w:rPr>
          <w:rFonts w:ascii="Arial" w:eastAsia="Arial" w:hAnsi="Arial" w:cs="Arial"/>
          <w:sz w:val="22"/>
          <w:szCs w:val="22"/>
        </w:rPr>
        <w:t>remains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core of all we do at Cavendish.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00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Pupil Premium Grant per eligible pupil (in yrs. 7-11) for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202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£9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 an increase of £20 per head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tbl>
      <w:tblPr>
        <w:tblStyle w:val="a"/>
        <w:tblW w:w="8850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20"/>
      </w:tblGrid>
      <w:tr w:rsidR="00D927BC">
        <w:trPr>
          <w:trHeight w:val="420"/>
          <w:jc w:val="center"/>
        </w:trPr>
        <w:tc>
          <w:tcPr>
            <w:tcW w:w="8850" w:type="dxa"/>
            <w:gridSpan w:val="2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415" w:right="5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 Cavendish High Academy Pupil Premium Grant 20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number of pupils on roll</w:t>
            </w:r>
          </w:p>
        </w:tc>
        <w:tc>
          <w:tcPr>
            <w:tcW w:w="462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931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number of pupils eligible for PPG</w:t>
            </w:r>
          </w:p>
        </w:tc>
        <w:tc>
          <w:tcPr>
            <w:tcW w:w="462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31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Amount of PPG per pupil</w:t>
            </w:r>
          </w:p>
        </w:tc>
        <w:tc>
          <w:tcPr>
            <w:tcW w:w="462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31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£9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Amount of PPG received</w:t>
            </w:r>
          </w:p>
        </w:tc>
        <w:tc>
          <w:tcPr>
            <w:tcW w:w="462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31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</w:t>
            </w:r>
            <w:r>
              <w:rPr>
                <w:rFonts w:ascii="Arial" w:eastAsia="Arial" w:hAnsi="Arial" w:cs="Arial"/>
                <w:sz w:val="22"/>
                <w:szCs w:val="22"/>
              </w:rPr>
              <w:t>42,308.46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 of school yrs. 7 - 11 accessing PPG</w:t>
            </w:r>
          </w:p>
        </w:tc>
        <w:tc>
          <w:tcPr>
            <w:tcW w:w="462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8" w:right="540" w:hanging="91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48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927BC">
        <w:trPr>
          <w:trHeight w:val="640"/>
          <w:jc w:val="center"/>
        </w:trPr>
        <w:tc>
          <w:tcPr>
            <w:tcW w:w="423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88" w:lineRule="auto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number of Pupils eligible for Pupil Premium Plus for Children in Care</w:t>
            </w:r>
          </w:p>
        </w:tc>
        <w:tc>
          <w:tcPr>
            <w:tcW w:w="4620" w:type="dxa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6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927BC">
        <w:trPr>
          <w:trHeight w:val="420"/>
          <w:jc w:val="center"/>
        </w:trPr>
        <w:tc>
          <w:tcPr>
            <w:tcW w:w="423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5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PP Plus per pupil</w:t>
            </w:r>
          </w:p>
        </w:tc>
        <w:tc>
          <w:tcPr>
            <w:tcW w:w="4620" w:type="dxa"/>
            <w:shd w:val="clear" w:color="auto" w:fill="EFEFEF"/>
          </w:tcPr>
          <w:p w:rsidR="00D927BC" w:rsidRDefault="00986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924" w:right="5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£23</w:t>
            </w: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</w:tbl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D927BC">
      <w:pPr>
        <w:pStyle w:val="Heading1"/>
        <w:ind w:left="0" w:right="540"/>
        <w:jc w:val="left"/>
        <w:rPr>
          <w:sz w:val="22"/>
          <w:szCs w:val="22"/>
        </w:rPr>
      </w:pPr>
    </w:p>
    <w:p w:rsidR="00D927BC" w:rsidRDefault="00986692">
      <w:pPr>
        <w:pStyle w:val="Heading1"/>
        <w:ind w:left="0" w:right="540"/>
        <w:jc w:val="left"/>
        <w:rPr>
          <w:sz w:val="22"/>
          <w:szCs w:val="22"/>
        </w:rPr>
      </w:pPr>
      <w:r>
        <w:rPr>
          <w:sz w:val="22"/>
          <w:szCs w:val="22"/>
        </w:rPr>
        <w:t>What we invested in to support our most vulnerable learners 2020-2021</w:t>
      </w:r>
      <w:r w:rsidR="00A75644">
        <w:rPr>
          <w:sz w:val="22"/>
          <w:szCs w:val="22"/>
        </w:rPr>
        <w:t>:</w:t>
      </w:r>
      <w:bookmarkStart w:id="2" w:name="_GoBack"/>
      <w:bookmarkEnd w:id="2"/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D927BC" w:rsidRDefault="009866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  <w:tab w:val="left" w:pos="522"/>
        </w:tabs>
        <w:ind w:right="54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Employed:  Speech and language therapist,1 part-time (0.6):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Assess pupils, baseline and ascertain level of support required Write Speech and Language programs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553" w:right="540" w:hanging="1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Undertake sensory diet assessment &amp; create sensory diets for individuals as required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ind w:left="1540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Provide training for staff e.g. BLANK levels, sensory diet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1540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Attended meetings with parents and annual review/EHCP meetings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1540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Develop communication strategies with pupils based on a specific need 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Cost to school £ 26,586.88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540"/>
        <w:rPr>
          <w:rFonts w:ascii="Arial" w:eastAsia="Arial" w:hAnsi="Arial" w:cs="Arial"/>
          <w:b/>
          <w:i/>
          <w:sz w:val="22"/>
          <w:szCs w:val="22"/>
        </w:rPr>
      </w:pPr>
    </w:p>
    <w:p w:rsidR="00D927BC" w:rsidRDefault="00986692">
      <w:pPr>
        <w:pStyle w:val="Heading1"/>
        <w:numPr>
          <w:ilvl w:val="0"/>
          <w:numId w:val="4"/>
        </w:numPr>
        <w:tabs>
          <w:tab w:val="left" w:pos="406"/>
        </w:tabs>
        <w:spacing w:before="0" w:line="283" w:lineRule="auto"/>
        <w:ind w:left="426" w:right="540" w:hanging="242"/>
        <w:jc w:val="left"/>
      </w:pPr>
      <w:r>
        <w:rPr>
          <w:sz w:val="22"/>
          <w:szCs w:val="22"/>
        </w:rPr>
        <w:t>Provided financial support for enrichment &amp; extended provision activities to enable participation for those pupils who are most disadvantaged: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9866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Literacy – Subscriptions to the Book Trust to support two young people’s literacy and promote a lifelong love of books</w:t>
      </w:r>
    </w:p>
    <w:p w:rsidR="00D927BC" w:rsidRDefault="009866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ICT Equipment – supporting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pupils with social, emotional and mental health needs, in addition to providing educational IT support wit</w:t>
      </w:r>
      <w:r>
        <w:rPr>
          <w:rFonts w:ascii="Arial" w:eastAsia="Arial" w:hAnsi="Arial" w:cs="Arial"/>
          <w:color w:val="000000"/>
          <w:sz w:val="22"/>
          <w:szCs w:val="22"/>
        </w:rPr>
        <w:t>hin the classroom</w:t>
      </w:r>
    </w:p>
    <w:p w:rsidR="00D927BC" w:rsidRDefault="009866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Sensory equipment - toys, games and safety equipment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spacing w:before="39"/>
        <w:ind w:right="5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Cost to school £2,232.93</w:t>
      </w:r>
    </w:p>
    <w:p w:rsidR="00D927BC" w:rsidRDefault="00D927BC">
      <w:pPr>
        <w:widowControl w:val="0"/>
        <w:spacing w:before="39"/>
        <w:ind w:right="540"/>
        <w:rPr>
          <w:rFonts w:ascii="Arial" w:eastAsia="Arial" w:hAnsi="Arial" w:cs="Arial"/>
          <w:b/>
          <w:i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pStyle w:val="Heading1"/>
        <w:numPr>
          <w:ilvl w:val="0"/>
          <w:numId w:val="4"/>
        </w:numPr>
        <w:tabs>
          <w:tab w:val="left" w:pos="406"/>
        </w:tabs>
        <w:spacing w:before="0" w:line="283" w:lineRule="auto"/>
        <w:ind w:right="540" w:firstLine="41"/>
        <w:jc w:val="left"/>
      </w:pPr>
      <w:r>
        <w:rPr>
          <w:sz w:val="22"/>
          <w:szCs w:val="22"/>
        </w:rPr>
        <w:lastRenderedPageBreak/>
        <w:t xml:space="preserve">Bought furniture, equipment, materials and resources to support pupils emotional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physical health and well-being to promote their readiness for lear</w:t>
      </w:r>
      <w:r>
        <w:rPr>
          <w:sz w:val="22"/>
          <w:szCs w:val="22"/>
        </w:rPr>
        <w:t xml:space="preserve">ning in an appropriate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environment: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Identification of nurture groups and the design, construction and furnishing of specialist 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provision to meet the needs of these pupils as they progress through the school. </w:t>
      </w: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(room modification, division, furnishing and resourcing)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Investment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Widgit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online, a literacy scaffolding and symbolization tool.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left="1539"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Remaining budget allocated towards these improvements to the fabric and infrastructure of the school (£13,488.65) 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Cohort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Pupil Premium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 xml:space="preserve"> pupils are entitled to </w:t>
      </w:r>
      <w:r>
        <w:rPr>
          <w:rFonts w:ascii="Arial" w:eastAsia="Arial" w:hAnsi="Arial" w:cs="Arial"/>
          <w:b/>
          <w:sz w:val="22"/>
          <w:szCs w:val="22"/>
        </w:rPr>
        <w:t>Pupil Premium</w:t>
      </w:r>
      <w:r>
        <w:rPr>
          <w:rFonts w:ascii="Arial" w:eastAsia="Arial" w:hAnsi="Arial" w:cs="Arial"/>
          <w:sz w:val="22"/>
          <w:szCs w:val="22"/>
        </w:rPr>
        <w:t xml:space="preserve"> across the school; these pupils account for </w:t>
      </w:r>
      <w:r>
        <w:rPr>
          <w:rFonts w:ascii="Arial" w:eastAsia="Arial" w:hAnsi="Arial" w:cs="Arial"/>
          <w:b/>
          <w:sz w:val="22"/>
          <w:szCs w:val="22"/>
        </w:rPr>
        <w:t>48</w:t>
      </w:r>
      <w:r>
        <w:rPr>
          <w:rFonts w:ascii="Arial" w:eastAsia="Arial" w:hAnsi="Arial" w:cs="Arial"/>
          <w:sz w:val="22"/>
          <w:szCs w:val="22"/>
        </w:rPr>
        <w:t xml:space="preserve">% of the whole school population,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 of these pupils are male (</w:t>
      </w:r>
      <w:r>
        <w:rPr>
          <w:rFonts w:ascii="Arial" w:eastAsia="Arial" w:hAnsi="Arial" w:cs="Arial"/>
          <w:b/>
          <w:sz w:val="22"/>
          <w:szCs w:val="22"/>
        </w:rPr>
        <w:t>69</w:t>
      </w:r>
      <w:r>
        <w:rPr>
          <w:rFonts w:ascii="Arial" w:eastAsia="Arial" w:hAnsi="Arial" w:cs="Arial"/>
          <w:sz w:val="22"/>
          <w:szCs w:val="22"/>
        </w:rPr>
        <w:t xml:space="preserve">%) and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 xml:space="preserve"> are female (</w:t>
      </w:r>
      <w:r>
        <w:rPr>
          <w:rFonts w:ascii="Arial" w:eastAsia="Arial" w:hAnsi="Arial" w:cs="Arial"/>
          <w:b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 xml:space="preserve">%). These pupils only appear in key stages 3 and 4. 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spacing w:before="58"/>
        <w:ind w:right="-3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Overall progress of pupils in Receipt of Pupil Premium</w:t>
      </w:r>
    </w:p>
    <w:p w:rsidR="00D927BC" w:rsidRDefault="00D927BC">
      <w:pPr>
        <w:widowControl w:val="0"/>
        <w:spacing w:before="58"/>
        <w:ind w:right="-30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widowControl w:val="0"/>
        <w:numPr>
          <w:ilvl w:val="0"/>
          <w:numId w:val="2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61% of pupils are making expected progress or above expected progress in English</w:t>
      </w:r>
    </w:p>
    <w:p w:rsidR="00D927BC" w:rsidRDefault="00986692">
      <w:pPr>
        <w:widowControl w:val="0"/>
        <w:numPr>
          <w:ilvl w:val="0"/>
          <w:numId w:val="2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70% of pupils are making expected progress or above expected progress in Mathematics</w:t>
      </w:r>
    </w:p>
    <w:p w:rsidR="00D927BC" w:rsidRDefault="00986692">
      <w:pPr>
        <w:widowControl w:val="0"/>
        <w:numPr>
          <w:ilvl w:val="0"/>
          <w:numId w:val="2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64% of pupils are making expected </w:t>
      </w:r>
      <w:r>
        <w:rPr>
          <w:rFonts w:ascii="Arial" w:eastAsia="Arial" w:hAnsi="Arial" w:cs="Arial"/>
          <w:sz w:val="22"/>
          <w:szCs w:val="22"/>
        </w:rPr>
        <w:t>progress or above expected progress in PHSE</w:t>
      </w:r>
    </w:p>
    <w:p w:rsidR="00D927BC" w:rsidRDefault="00986692">
      <w:pPr>
        <w:widowControl w:val="0"/>
        <w:numPr>
          <w:ilvl w:val="0"/>
          <w:numId w:val="2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89% of pupils were assessed as being ‘fully’ or ‘partially engaged </w:t>
      </w:r>
    </w:p>
    <w:p w:rsidR="00D927BC" w:rsidRDefault="00986692">
      <w:pPr>
        <w:widowControl w:val="0"/>
        <w:numPr>
          <w:ilvl w:val="0"/>
          <w:numId w:val="2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39% of pupils were described as being ‘highly’ impacted as a result of the pandemic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spacing w:line="276" w:lineRule="auto"/>
        <w:ind w:right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line="276" w:lineRule="auto"/>
        <w:ind w:right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spacing w:line="276" w:lineRule="auto"/>
        <w:ind w:right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Cohort</w:t>
      </w:r>
    </w:p>
    <w:p w:rsidR="00D927BC" w:rsidRDefault="00D927BC">
      <w:pPr>
        <w:spacing w:line="276" w:lineRule="auto"/>
        <w:ind w:right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LAC - Looked after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Chidren</w:t>
      </w:r>
      <w:proofErr w:type="spellEnd"/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There are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ooked after pupils</w:t>
      </w:r>
      <w:r>
        <w:rPr>
          <w:rFonts w:ascii="Arial" w:eastAsia="Arial" w:hAnsi="Arial" w:cs="Arial"/>
          <w:sz w:val="22"/>
          <w:szCs w:val="22"/>
        </w:rPr>
        <w:t xml:space="preserve"> in the Academy, (5% of the whole school population) of those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are </w:t>
      </w:r>
      <w:r>
        <w:rPr>
          <w:rFonts w:ascii="Arial" w:eastAsia="Arial" w:hAnsi="Arial" w:cs="Arial"/>
          <w:b/>
          <w:sz w:val="22"/>
          <w:szCs w:val="22"/>
        </w:rPr>
        <w:t>male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5%</w:t>
      </w:r>
      <w:r>
        <w:rPr>
          <w:rFonts w:ascii="Arial" w:eastAsia="Arial" w:hAnsi="Arial" w:cs="Arial"/>
          <w:sz w:val="22"/>
          <w:szCs w:val="22"/>
        </w:rPr>
        <w:t xml:space="preserve"> of the whole school population) and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of those are female (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 of the whole school population).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spacing w:before="58"/>
        <w:ind w:right="-3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Overall progress of pupils who are looked after</w:t>
      </w:r>
    </w:p>
    <w:p w:rsidR="00D927BC" w:rsidRDefault="00D927BC">
      <w:pPr>
        <w:widowControl w:val="0"/>
        <w:spacing w:before="58"/>
        <w:ind w:right="-30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widowControl w:val="0"/>
        <w:numPr>
          <w:ilvl w:val="0"/>
          <w:numId w:val="3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100% of pupils a</w:t>
      </w:r>
      <w:r>
        <w:rPr>
          <w:rFonts w:ascii="Arial" w:eastAsia="Arial" w:hAnsi="Arial" w:cs="Arial"/>
          <w:sz w:val="22"/>
          <w:szCs w:val="22"/>
        </w:rPr>
        <w:t>re making expected progress or above expected progress in English</w:t>
      </w:r>
    </w:p>
    <w:p w:rsidR="00D927BC" w:rsidRDefault="00986692">
      <w:pPr>
        <w:widowControl w:val="0"/>
        <w:numPr>
          <w:ilvl w:val="0"/>
          <w:numId w:val="3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100% of pupils are making expected progress or above expected progress in Mathematics</w:t>
      </w:r>
    </w:p>
    <w:p w:rsidR="00D927BC" w:rsidRDefault="00986692">
      <w:pPr>
        <w:widowControl w:val="0"/>
        <w:numPr>
          <w:ilvl w:val="0"/>
          <w:numId w:val="3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86% of pupils are making expected progress or above expected progress in PHSE</w:t>
      </w:r>
    </w:p>
    <w:p w:rsidR="00D927BC" w:rsidRDefault="00986692">
      <w:pPr>
        <w:widowControl w:val="0"/>
        <w:numPr>
          <w:ilvl w:val="0"/>
          <w:numId w:val="3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100% of pupils were assess</w:t>
      </w:r>
      <w:r>
        <w:rPr>
          <w:rFonts w:ascii="Arial" w:eastAsia="Arial" w:hAnsi="Arial" w:cs="Arial"/>
          <w:sz w:val="22"/>
          <w:szCs w:val="22"/>
        </w:rPr>
        <w:t xml:space="preserve">ed as being ‘fully’ or ‘partially engaged </w:t>
      </w:r>
    </w:p>
    <w:p w:rsidR="00D927BC" w:rsidRDefault="00986692">
      <w:pPr>
        <w:widowControl w:val="0"/>
        <w:numPr>
          <w:ilvl w:val="0"/>
          <w:numId w:val="3"/>
        </w:numPr>
        <w:tabs>
          <w:tab w:val="left" w:pos="619"/>
          <w:tab w:val="left" w:pos="620"/>
        </w:tabs>
        <w:ind w:right="-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0% of pupils in this category were described as being ‘highly’ impacted as a result of the pandemic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b/>
          <w:sz w:val="22"/>
          <w:szCs w:val="22"/>
        </w:rPr>
      </w:pPr>
    </w:p>
    <w:p w:rsidR="00D927BC" w:rsidRDefault="00986692">
      <w:pPr>
        <w:spacing w:line="276" w:lineRule="auto"/>
        <w:ind w:right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Impact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Pupil Premium</w:t>
      </w:r>
      <w:r>
        <w:rPr>
          <w:rFonts w:ascii="Arial" w:eastAsia="Arial" w:hAnsi="Arial" w:cs="Arial"/>
          <w:sz w:val="22"/>
          <w:szCs w:val="22"/>
        </w:rPr>
        <w:t xml:space="preserve"> pupils were the second highest performing cohort across the school across English, Mathematics and PHSE. Below is a breakdown of their performance by category including </w:t>
      </w:r>
      <w:r>
        <w:rPr>
          <w:rFonts w:ascii="Arial" w:eastAsia="Arial" w:hAnsi="Arial" w:cs="Arial"/>
          <w:b/>
          <w:sz w:val="22"/>
          <w:szCs w:val="22"/>
        </w:rPr>
        <w:t>engagement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b/>
          <w:sz w:val="22"/>
          <w:szCs w:val="22"/>
        </w:rPr>
        <w:t>impact</w:t>
      </w:r>
      <w:r>
        <w:rPr>
          <w:rFonts w:ascii="Arial" w:eastAsia="Arial" w:hAnsi="Arial" w:cs="Arial"/>
          <w:sz w:val="22"/>
          <w:szCs w:val="22"/>
        </w:rPr>
        <w:t xml:space="preserve"> profiles specifically related to the ongoing pandemic.</w:t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ind w:right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772150" cy="6924675"/>
            <wp:effectExtent l="0" t="0" r="0" b="0"/>
            <wp:docPr id="10737418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92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7BC" w:rsidRDefault="00D927BC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LAC - Looked after Children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LAC pupils performance figures are exceptional even in comparison to previous years, again these are a very small portion of the whole school population (7) with a high proportion of ‘high flyers’ amongst their ranks.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781675" cy="8153400"/>
            <wp:effectExtent l="0" t="0" r="0" b="0"/>
            <wp:docPr id="10737418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5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3" w:lineRule="auto"/>
        <w:ind w:right="540"/>
        <w:rPr>
          <w:rFonts w:ascii="Arial" w:eastAsia="Arial" w:hAnsi="Arial" w:cs="Arial"/>
          <w:sz w:val="22"/>
          <w:szCs w:val="22"/>
        </w:rPr>
      </w:pPr>
    </w:p>
    <w:p w:rsidR="00D927BC" w:rsidRDefault="00986692">
      <w:pPr>
        <w:spacing w:line="276" w:lineRule="auto"/>
        <w:ind w:righ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Both cohorts are performing exceptionally well in comparison to other groups across the academy, the strategy in place to support these cohorts remains effective and well managed.</w:t>
      </w:r>
    </w:p>
    <w:p w:rsidR="00D927BC" w:rsidRDefault="00D92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540"/>
        <w:rPr>
          <w:rFonts w:ascii="Arial" w:eastAsia="Arial" w:hAnsi="Arial" w:cs="Arial"/>
          <w:color w:val="000000"/>
          <w:sz w:val="22"/>
          <w:szCs w:val="22"/>
        </w:rPr>
      </w:pPr>
    </w:p>
    <w:sectPr w:rsidR="00D927BC">
      <w:headerReference w:type="default" r:id="rId12"/>
      <w:footerReference w:type="default" r:id="rId13"/>
      <w:pgSz w:w="11910" w:h="16840"/>
      <w:pgMar w:top="600" w:right="0" w:bottom="620" w:left="480" w:header="0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92" w:rsidRDefault="00986692">
      <w:r>
        <w:separator/>
      </w:r>
    </w:p>
  </w:endnote>
  <w:endnote w:type="continuationSeparator" w:id="0">
    <w:p w:rsidR="00986692" w:rsidRDefault="0098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BC" w:rsidRDefault="00D927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92" w:rsidRDefault="00986692">
      <w:r>
        <w:separator/>
      </w:r>
    </w:p>
  </w:footnote>
  <w:footnote w:type="continuationSeparator" w:id="0">
    <w:p w:rsidR="00986692" w:rsidRDefault="0098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BC" w:rsidRDefault="00D927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D8D"/>
    <w:multiLevelType w:val="multilevel"/>
    <w:tmpl w:val="57524E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ACA60B7"/>
    <w:multiLevelType w:val="multilevel"/>
    <w:tmpl w:val="198A4B98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7603A5"/>
    <w:multiLevelType w:val="multilevel"/>
    <w:tmpl w:val="099264C4"/>
    <w:lvl w:ilvl="0">
      <w:start w:val="1"/>
      <w:numFmt w:val="decimal"/>
      <w:lvlText w:val="%1."/>
      <w:lvlJc w:val="left"/>
      <w:pPr>
        <w:ind w:left="100" w:hanging="422"/>
      </w:pPr>
      <w:rPr>
        <w:rFonts w:ascii="Helvetica Neue" w:eastAsia="Helvetica Neue" w:hAnsi="Helvetica Neue" w:cs="Helvetica Neue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148" w:hanging="422"/>
      </w:pPr>
    </w:lvl>
    <w:lvl w:ilvl="2">
      <w:start w:val="1"/>
      <w:numFmt w:val="bullet"/>
      <w:lvlText w:val="•"/>
      <w:lvlJc w:val="left"/>
      <w:pPr>
        <w:ind w:left="2197" w:hanging="422"/>
      </w:pPr>
    </w:lvl>
    <w:lvl w:ilvl="3">
      <w:start w:val="1"/>
      <w:numFmt w:val="bullet"/>
      <w:lvlText w:val="•"/>
      <w:lvlJc w:val="left"/>
      <w:pPr>
        <w:ind w:left="3245" w:hanging="422"/>
      </w:pPr>
    </w:lvl>
    <w:lvl w:ilvl="4">
      <w:start w:val="1"/>
      <w:numFmt w:val="bullet"/>
      <w:lvlText w:val="•"/>
      <w:lvlJc w:val="left"/>
      <w:pPr>
        <w:ind w:left="4294" w:hanging="422"/>
      </w:pPr>
    </w:lvl>
    <w:lvl w:ilvl="5">
      <w:start w:val="1"/>
      <w:numFmt w:val="bullet"/>
      <w:lvlText w:val="•"/>
      <w:lvlJc w:val="left"/>
      <w:pPr>
        <w:ind w:left="5342" w:hanging="421"/>
      </w:pPr>
    </w:lvl>
    <w:lvl w:ilvl="6">
      <w:start w:val="1"/>
      <w:numFmt w:val="bullet"/>
      <w:lvlText w:val="•"/>
      <w:lvlJc w:val="left"/>
      <w:pPr>
        <w:ind w:left="6391" w:hanging="422"/>
      </w:pPr>
    </w:lvl>
    <w:lvl w:ilvl="7">
      <w:start w:val="1"/>
      <w:numFmt w:val="bullet"/>
      <w:lvlText w:val="•"/>
      <w:lvlJc w:val="left"/>
      <w:pPr>
        <w:ind w:left="7439" w:hanging="422"/>
      </w:pPr>
    </w:lvl>
    <w:lvl w:ilvl="8">
      <w:start w:val="1"/>
      <w:numFmt w:val="bullet"/>
      <w:lvlText w:val="•"/>
      <w:lvlJc w:val="left"/>
      <w:pPr>
        <w:ind w:left="8488" w:hanging="422"/>
      </w:pPr>
    </w:lvl>
  </w:abstractNum>
  <w:abstractNum w:abstractNumId="3" w15:restartNumberingAfterBreak="0">
    <w:nsid w:val="7FEA1778"/>
    <w:multiLevelType w:val="multilevel"/>
    <w:tmpl w:val="322C5346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BC"/>
    <w:rsid w:val="006365CC"/>
    <w:rsid w:val="00986692"/>
    <w:rsid w:val="00A75644"/>
    <w:rsid w:val="00D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0C8C2"/>
  <w15:docId w15:val="{A958EE7B-336E-FD48-8652-D9412F0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99"/>
    <w:rPr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F4580"/>
    <w:pPr>
      <w:widowControl w:val="0"/>
      <w:autoSpaceDE w:val="0"/>
      <w:autoSpaceDN w:val="0"/>
      <w:spacing w:before="68"/>
      <w:ind w:left="4603"/>
      <w:jc w:val="center"/>
      <w:outlineLvl w:val="0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4580"/>
    <w:pPr>
      <w:widowControl w:val="0"/>
      <w:autoSpaceDE w:val="0"/>
      <w:autoSpaceDN w:val="0"/>
      <w:spacing w:before="63"/>
      <w:ind w:left="100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4580"/>
    <w:pPr>
      <w:widowControl w:val="0"/>
      <w:autoSpaceDE w:val="0"/>
      <w:autoSpaceDN w:val="0"/>
      <w:ind w:left="117"/>
      <w:outlineLvl w:val="2"/>
    </w:pPr>
    <w:rPr>
      <w:rFonts w:ascii="Arial" w:eastAsia="Arial" w:hAnsi="Arial" w:cs="Arial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F4580"/>
    <w:pPr>
      <w:widowControl w:val="0"/>
      <w:autoSpaceDE w:val="0"/>
      <w:autoSpaceDN w:val="0"/>
      <w:ind w:left="20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8F4580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F458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F4580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F4580"/>
    <w:rPr>
      <w:rFonts w:ascii="Arial" w:eastAsia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45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4580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F4580"/>
    <w:pPr>
      <w:widowControl w:val="0"/>
      <w:autoSpaceDE w:val="0"/>
      <w:autoSpaceDN w:val="0"/>
      <w:ind w:left="100" w:hanging="567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F45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4580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4580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580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580"/>
    <w:rPr>
      <w:rFonts w:ascii="Arial" w:eastAsia="Arial" w:hAnsi="Arial" w:cs="Arial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F4580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594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948"/>
    <w:rPr>
      <w:rFonts w:ascii="Times New Roman" w:eastAsia="Arial" w:hAnsi="Times New Roman" w:cs="Times New Roman"/>
      <w:lang w:val="en-US"/>
    </w:rPr>
  </w:style>
  <w:style w:type="paragraph" w:customStyle="1" w:styleId="Body">
    <w:name w:val="Body"/>
    <w:rsid w:val="00365B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table" w:styleId="PlainTable1">
    <w:name w:val="Plain Table 1"/>
    <w:basedOn w:val="TableNormal"/>
    <w:uiPriority w:val="41"/>
    <w:rsid w:val="005302E5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6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2764"/>
  </w:style>
  <w:style w:type="character" w:styleId="PageNumber">
    <w:name w:val="page number"/>
    <w:basedOn w:val="DefaultParagraphFont"/>
    <w:uiPriority w:val="99"/>
    <w:semiHidden/>
    <w:unhideWhenUsed/>
    <w:rsid w:val="00312B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wqSyb/HIT232jUr9DLF6w26Ng==">AMUW2mUkNLtTymUpm2OQLe3fEcDJmMnb/vO7TaxNckQYT3Poz/ZTPGcn/xC24/tXDWTvP1+94+1+43Rhx9dpIxPtuov77ZoMR3dsAZY4YYsB0AnAoNiBX6rcLjL9WXsTSsjFXoT1sYv/meq9y5kDKqAjotqzm9h3uA==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2021-11-08T12:17:00Z</dcterms:created>
  <dcterms:modified xsi:type="dcterms:W3CDTF">2021-11-08T12:17:00Z</dcterms:modified>
</cp:coreProperties>
</file>